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9762" w14:textId="11814C2E" w:rsidR="003C73FD" w:rsidRDefault="003C73FD" w:rsidP="003C73FD">
      <w:pPr>
        <w:spacing w:after="120"/>
        <w:jc w:val="center"/>
        <w:rPr>
          <w:rFonts w:ascii="Times New Roman" w:hAnsi="Times New Roman" w:cs="Times New Roman"/>
          <w:b/>
          <w:bCs/>
          <w:sz w:val="24"/>
          <w:szCs w:val="24"/>
        </w:rPr>
      </w:pPr>
      <w:r>
        <w:rPr>
          <w:rFonts w:ascii="Times New Roman" w:hAnsi="Times New Roman" w:cs="Times New Roman"/>
          <w:b/>
          <w:bCs/>
          <w:sz w:val="24"/>
          <w:szCs w:val="24"/>
        </w:rPr>
        <w:t>ADDENDUM 1 TO</w:t>
      </w:r>
    </w:p>
    <w:p w14:paraId="3FA83B07" w14:textId="77777777" w:rsidR="003C73FD" w:rsidRDefault="003C73FD" w:rsidP="003C73FD">
      <w:pPr>
        <w:spacing w:after="120"/>
        <w:jc w:val="center"/>
        <w:rPr>
          <w:rFonts w:ascii="Times New Roman" w:hAnsi="Times New Roman" w:cs="Times New Roman"/>
          <w:b/>
          <w:bCs/>
          <w:sz w:val="24"/>
          <w:szCs w:val="24"/>
        </w:rPr>
      </w:pPr>
    </w:p>
    <w:p w14:paraId="6A8A06E9" w14:textId="679B8ED6" w:rsidR="003C73FD" w:rsidRDefault="003C73FD" w:rsidP="003C73FD">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2nd </w:t>
      </w:r>
      <w:r w:rsidRPr="00236EF3">
        <w:rPr>
          <w:rFonts w:ascii="Times New Roman" w:hAnsi="Times New Roman" w:cs="Times New Roman"/>
          <w:b/>
          <w:bCs/>
          <w:sz w:val="24"/>
          <w:szCs w:val="24"/>
        </w:rPr>
        <w:t>CALL FOR EXPRESSION OF INTEREST TO SELECT IMPLEMENTING PARTNERS UNDER THE INVESTEU FUND (EU COMPARTMENT)</w:t>
      </w:r>
    </w:p>
    <w:p w14:paraId="35CF49A8" w14:textId="77777777" w:rsidR="003C73FD" w:rsidRDefault="003C73FD" w:rsidP="003C73FD">
      <w:pPr>
        <w:spacing w:after="120"/>
        <w:jc w:val="center"/>
        <w:rPr>
          <w:rFonts w:ascii="Times New Roman" w:hAnsi="Times New Roman" w:cs="Times New Roman"/>
          <w:b/>
          <w:bCs/>
          <w:sz w:val="24"/>
          <w:szCs w:val="24"/>
        </w:rPr>
      </w:pPr>
    </w:p>
    <w:p w14:paraId="3DDCA3DA" w14:textId="6F5EC409" w:rsidR="00CB332E" w:rsidRDefault="0083348B" w:rsidP="00F41D32">
      <w:pPr>
        <w:jc w:val="center"/>
        <w:rPr>
          <w:b/>
          <w:bCs/>
        </w:rPr>
      </w:pPr>
      <w:r>
        <w:rPr>
          <w:b/>
          <w:bCs/>
        </w:rPr>
        <w:t>Addendum</w:t>
      </w:r>
      <w:r w:rsidRPr="0083348B">
        <w:rPr>
          <w:b/>
          <w:bCs/>
        </w:rPr>
        <w:t xml:space="preserve"> 1.</w:t>
      </w:r>
      <w:r>
        <w:rPr>
          <w:b/>
          <w:bCs/>
        </w:rPr>
        <w:t>1</w:t>
      </w:r>
    </w:p>
    <w:p w14:paraId="39D30D86" w14:textId="77777777" w:rsidR="0083348B" w:rsidRPr="0083348B" w:rsidRDefault="0083348B">
      <w:pPr>
        <w:rPr>
          <w:b/>
          <w:bCs/>
        </w:rPr>
      </w:pPr>
    </w:p>
    <w:p w14:paraId="4AC4F50A" w14:textId="0D0AB429" w:rsidR="003C73FD" w:rsidRPr="003C73FD" w:rsidRDefault="003C73FD">
      <w:pPr>
        <w:rPr>
          <w:b/>
          <w:bCs/>
        </w:rPr>
      </w:pPr>
      <w:r w:rsidRPr="003C73FD">
        <w:rPr>
          <w:b/>
          <w:bCs/>
        </w:rPr>
        <w:t>Call Text</w:t>
      </w:r>
    </w:p>
    <w:p w14:paraId="6663EF4A" w14:textId="080ADD05" w:rsidR="003C73FD" w:rsidRPr="003C73FD" w:rsidRDefault="003C73FD" w:rsidP="003C73FD">
      <w:pPr>
        <w:rPr>
          <w:b/>
        </w:rPr>
      </w:pPr>
      <w:bookmarkStart w:id="0" w:name="_Toc68877360"/>
      <w:r>
        <w:rPr>
          <w:b/>
        </w:rPr>
        <w:t xml:space="preserve">5. </w:t>
      </w:r>
      <w:r w:rsidRPr="003C73FD">
        <w:rPr>
          <w:b/>
        </w:rPr>
        <w:t>Application and selection procedure</w:t>
      </w:r>
      <w:bookmarkEnd w:id="0"/>
    </w:p>
    <w:p w14:paraId="22DFD0B0" w14:textId="68344792" w:rsidR="003C73FD" w:rsidRDefault="003C73FD" w:rsidP="003C73FD">
      <w:pPr>
        <w:rPr>
          <w:b/>
          <w:bCs/>
        </w:rPr>
      </w:pPr>
      <w:bookmarkStart w:id="1" w:name="_Toc68877361"/>
      <w:r>
        <w:rPr>
          <w:b/>
          <w:bCs/>
        </w:rPr>
        <w:t xml:space="preserve">5.1 </w:t>
      </w:r>
      <w:r w:rsidRPr="003C73FD">
        <w:rPr>
          <w:b/>
          <w:bCs/>
        </w:rPr>
        <w:t>Application procedure</w:t>
      </w:r>
      <w:bookmarkEnd w:id="1"/>
    </w:p>
    <w:p w14:paraId="01366CE6" w14:textId="1319FB29" w:rsidR="003C73FD" w:rsidRPr="00F41D32" w:rsidRDefault="005024BE" w:rsidP="003C73FD">
      <w:pPr>
        <w:rPr>
          <w:u w:val="single"/>
        </w:rPr>
      </w:pPr>
      <w:r w:rsidRPr="00F41D32">
        <w:rPr>
          <w:u w:val="single"/>
        </w:rPr>
        <w:t>FOR:</w:t>
      </w:r>
    </w:p>
    <w:tbl>
      <w:tblPr>
        <w:tblStyle w:val="TableGrid"/>
        <w:tblW w:w="0" w:type="auto"/>
        <w:jc w:val="center"/>
        <w:tblLook w:val="04A0" w:firstRow="1" w:lastRow="0" w:firstColumn="1" w:lastColumn="0" w:noHBand="0" w:noVBand="1"/>
      </w:tblPr>
      <w:tblGrid>
        <w:gridCol w:w="4497"/>
        <w:gridCol w:w="4438"/>
      </w:tblGrid>
      <w:tr w:rsidR="003C73FD" w:rsidRPr="00F76E10" w14:paraId="36012AAE" w14:textId="77777777" w:rsidTr="002057D7">
        <w:trPr>
          <w:jc w:val="center"/>
        </w:trPr>
        <w:tc>
          <w:tcPr>
            <w:tcW w:w="8935" w:type="dxa"/>
            <w:gridSpan w:val="2"/>
          </w:tcPr>
          <w:p w14:paraId="32991681" w14:textId="77777777" w:rsidR="003C73FD" w:rsidRPr="00F76E10" w:rsidRDefault="003C73FD" w:rsidP="002057D7">
            <w:pPr>
              <w:spacing w:after="120"/>
              <w:jc w:val="center"/>
              <w:rPr>
                <w:rFonts w:ascii="Times New Roman" w:hAnsi="Times New Roman" w:cs="Times New Roman"/>
                <w:b/>
                <w:bCs/>
                <w:sz w:val="24"/>
                <w:szCs w:val="24"/>
              </w:rPr>
            </w:pPr>
            <w:r w:rsidRPr="00F76E10">
              <w:rPr>
                <w:rFonts w:ascii="Times New Roman" w:hAnsi="Times New Roman" w:cs="Times New Roman"/>
                <w:b/>
                <w:bCs/>
                <w:sz w:val="24"/>
                <w:szCs w:val="24"/>
              </w:rPr>
              <w:t>Timetable</w:t>
            </w:r>
          </w:p>
        </w:tc>
      </w:tr>
      <w:tr w:rsidR="003C73FD" w:rsidRPr="00F76E10" w14:paraId="3E6F45A4" w14:textId="77777777" w:rsidTr="002057D7">
        <w:trPr>
          <w:jc w:val="center"/>
        </w:trPr>
        <w:tc>
          <w:tcPr>
            <w:tcW w:w="4497" w:type="dxa"/>
          </w:tcPr>
          <w:p w14:paraId="65CF2A8D"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First cut-off date </w:t>
            </w:r>
          </w:p>
        </w:tc>
        <w:tc>
          <w:tcPr>
            <w:tcW w:w="4438" w:type="dxa"/>
          </w:tcPr>
          <w:p w14:paraId="57A05F27" w14:textId="6B8F1251" w:rsidR="003C73FD" w:rsidRPr="00F76E10" w:rsidRDefault="003C73FD" w:rsidP="002057D7">
            <w:pPr>
              <w:spacing w:after="120"/>
              <w:jc w:val="both"/>
              <w:rPr>
                <w:rFonts w:ascii="Times New Roman" w:hAnsi="Times New Roman" w:cs="Times New Roman"/>
                <w:sz w:val="24"/>
                <w:szCs w:val="24"/>
              </w:rPr>
            </w:pPr>
            <w:r>
              <w:rPr>
                <w:rFonts w:ascii="Times New Roman" w:hAnsi="Times New Roman" w:cs="Times New Roman"/>
                <w:sz w:val="24"/>
                <w:szCs w:val="24"/>
              </w:rPr>
              <w:t>29 February</w:t>
            </w:r>
            <w:r w:rsidRPr="00F76E10">
              <w:rPr>
                <w:rFonts w:ascii="Times New Roman" w:hAnsi="Times New Roman" w:cs="Times New Roman"/>
                <w:sz w:val="24"/>
                <w:szCs w:val="24"/>
              </w:rPr>
              <w:t xml:space="preserve"> 2024 (18:00 CET)</w:t>
            </w:r>
          </w:p>
        </w:tc>
      </w:tr>
      <w:tr w:rsidR="003C73FD" w:rsidRPr="00F76E10" w14:paraId="7DC977BA" w14:textId="77777777" w:rsidTr="002057D7">
        <w:trPr>
          <w:jc w:val="center"/>
        </w:trPr>
        <w:tc>
          <w:tcPr>
            <w:tcW w:w="4497" w:type="dxa"/>
          </w:tcPr>
          <w:p w14:paraId="4DCF82B0"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Next cut-off date(s) </w:t>
            </w:r>
          </w:p>
        </w:tc>
        <w:tc>
          <w:tcPr>
            <w:tcW w:w="4438" w:type="dxa"/>
          </w:tcPr>
          <w:p w14:paraId="2CD5792C"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2024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149661A8"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 xml:space="preserve">28 </w:t>
            </w:r>
            <w:proofErr w:type="spellStart"/>
            <w:r w:rsidRPr="00A4152B">
              <w:rPr>
                <w:rFonts w:ascii="Times New Roman" w:hAnsi="Times New Roman" w:cs="Times New Roman"/>
                <w:sz w:val="24"/>
                <w:szCs w:val="24"/>
                <w:lang w:val="fr-FR"/>
              </w:rPr>
              <w:t>February</w:t>
            </w:r>
            <w:proofErr w:type="spellEnd"/>
            <w:r w:rsidRPr="00A4152B">
              <w:rPr>
                <w:rFonts w:ascii="Times New Roman" w:hAnsi="Times New Roman" w:cs="Times New Roman"/>
                <w:sz w:val="24"/>
                <w:szCs w:val="24"/>
                <w:lang w:val="fr-FR"/>
              </w:rPr>
              <w:t xml:space="preserve">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682D273F"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27478516" w14:textId="77777777" w:rsidR="003C73FD" w:rsidRPr="00F76E10" w:rsidRDefault="003C73FD" w:rsidP="002057D7">
            <w:pPr>
              <w:spacing w:after="120"/>
              <w:jc w:val="both"/>
              <w:rPr>
                <w:rFonts w:ascii="Times New Roman" w:hAnsi="Times New Roman" w:cs="Times New Roman"/>
                <w:sz w:val="24"/>
                <w:szCs w:val="24"/>
              </w:rPr>
            </w:pPr>
            <w:r>
              <w:rPr>
                <w:rFonts w:ascii="Times New Roman" w:hAnsi="Times New Roman" w:cs="Times New Roman"/>
                <w:sz w:val="24"/>
                <w:szCs w:val="24"/>
              </w:rPr>
              <w:t>28</w:t>
            </w:r>
            <w:r w:rsidRPr="00F76E10">
              <w:rPr>
                <w:rFonts w:ascii="Times New Roman" w:hAnsi="Times New Roman" w:cs="Times New Roman"/>
                <w:sz w:val="24"/>
                <w:szCs w:val="24"/>
              </w:rPr>
              <w:t xml:space="preserve"> </w:t>
            </w:r>
            <w:r>
              <w:rPr>
                <w:rFonts w:ascii="Times New Roman" w:hAnsi="Times New Roman" w:cs="Times New Roman"/>
                <w:sz w:val="24"/>
                <w:szCs w:val="24"/>
              </w:rPr>
              <w:t>Febr</w:t>
            </w:r>
            <w:r w:rsidRPr="00F76E10">
              <w:rPr>
                <w:rFonts w:ascii="Times New Roman" w:hAnsi="Times New Roman" w:cs="Times New Roman"/>
                <w:sz w:val="24"/>
                <w:szCs w:val="24"/>
              </w:rPr>
              <w:t>uary 2026</w:t>
            </w:r>
            <w:r>
              <w:rPr>
                <w:rFonts w:ascii="Times New Roman" w:hAnsi="Times New Roman" w:cs="Times New Roman"/>
                <w:sz w:val="24"/>
                <w:szCs w:val="24"/>
              </w:rPr>
              <w:t xml:space="preserve"> (18:00 CET)</w:t>
            </w:r>
          </w:p>
        </w:tc>
      </w:tr>
      <w:tr w:rsidR="003C73FD" w:rsidRPr="00F76E10" w14:paraId="451B77EF" w14:textId="77777777" w:rsidTr="002057D7">
        <w:trPr>
          <w:jc w:val="center"/>
        </w:trPr>
        <w:tc>
          <w:tcPr>
            <w:tcW w:w="4497" w:type="dxa"/>
          </w:tcPr>
          <w:p w14:paraId="35031980"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Evaluation of proposals</w:t>
            </w:r>
          </w:p>
        </w:tc>
        <w:tc>
          <w:tcPr>
            <w:tcW w:w="4438" w:type="dxa"/>
          </w:tcPr>
          <w:p w14:paraId="52F611F3"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Following each cut-off date, the Commission will assess all </w:t>
            </w:r>
            <w:r>
              <w:rPr>
                <w:rFonts w:ascii="Times New Roman" w:hAnsi="Times New Roman" w:cs="Times New Roman"/>
                <w:sz w:val="24"/>
                <w:szCs w:val="24"/>
              </w:rPr>
              <w:t>A</w:t>
            </w:r>
            <w:r w:rsidRPr="00F76E10">
              <w:rPr>
                <w:rFonts w:ascii="Times New Roman" w:hAnsi="Times New Roman" w:cs="Times New Roman"/>
                <w:sz w:val="24"/>
                <w:szCs w:val="24"/>
              </w:rPr>
              <w:t>pplications received before that date, in accordance with the process in section 5.2 of this Call.</w:t>
            </w:r>
          </w:p>
        </w:tc>
      </w:tr>
    </w:tbl>
    <w:p w14:paraId="0000FE89" w14:textId="77777777" w:rsidR="003C73FD" w:rsidRDefault="003C73FD" w:rsidP="003C73FD">
      <w:pPr>
        <w:rPr>
          <w:b/>
          <w:bCs/>
        </w:rPr>
      </w:pPr>
    </w:p>
    <w:p w14:paraId="2F79E18F" w14:textId="3CA40626" w:rsidR="003C73FD" w:rsidRPr="003C73FD" w:rsidRDefault="005024BE" w:rsidP="003C73FD">
      <w:pPr>
        <w:rPr>
          <w:u w:val="single"/>
        </w:rPr>
      </w:pPr>
      <w:r w:rsidRPr="00F41D32">
        <w:rPr>
          <w:u w:val="single"/>
        </w:rPr>
        <w:t>READ</w:t>
      </w:r>
      <w:r w:rsidR="003C73FD" w:rsidRPr="00F41D32">
        <w:rPr>
          <w:u w:val="single"/>
        </w:rPr>
        <w:t>:</w:t>
      </w:r>
    </w:p>
    <w:tbl>
      <w:tblPr>
        <w:tblStyle w:val="TableGrid"/>
        <w:tblW w:w="0" w:type="auto"/>
        <w:jc w:val="center"/>
        <w:tblLook w:val="04A0" w:firstRow="1" w:lastRow="0" w:firstColumn="1" w:lastColumn="0" w:noHBand="0" w:noVBand="1"/>
      </w:tblPr>
      <w:tblGrid>
        <w:gridCol w:w="4497"/>
        <w:gridCol w:w="4438"/>
      </w:tblGrid>
      <w:tr w:rsidR="003C73FD" w:rsidRPr="00F76E10" w14:paraId="138CE708" w14:textId="77777777" w:rsidTr="002057D7">
        <w:trPr>
          <w:jc w:val="center"/>
        </w:trPr>
        <w:tc>
          <w:tcPr>
            <w:tcW w:w="8935" w:type="dxa"/>
            <w:gridSpan w:val="2"/>
          </w:tcPr>
          <w:p w14:paraId="2802EEB9" w14:textId="77777777" w:rsidR="003C73FD" w:rsidRPr="00F76E10" w:rsidRDefault="003C73FD" w:rsidP="002057D7">
            <w:pPr>
              <w:spacing w:after="120"/>
              <w:jc w:val="center"/>
              <w:rPr>
                <w:rFonts w:ascii="Times New Roman" w:hAnsi="Times New Roman" w:cs="Times New Roman"/>
                <w:b/>
                <w:bCs/>
                <w:sz w:val="24"/>
                <w:szCs w:val="24"/>
              </w:rPr>
            </w:pPr>
            <w:r w:rsidRPr="00F76E10">
              <w:rPr>
                <w:rFonts w:ascii="Times New Roman" w:hAnsi="Times New Roman" w:cs="Times New Roman"/>
                <w:b/>
                <w:bCs/>
                <w:sz w:val="24"/>
                <w:szCs w:val="24"/>
              </w:rPr>
              <w:t>Timetable</w:t>
            </w:r>
          </w:p>
        </w:tc>
      </w:tr>
      <w:tr w:rsidR="003C73FD" w:rsidRPr="00F76E10" w14:paraId="128D8CC8" w14:textId="77777777" w:rsidTr="002057D7">
        <w:trPr>
          <w:jc w:val="center"/>
        </w:trPr>
        <w:tc>
          <w:tcPr>
            <w:tcW w:w="4497" w:type="dxa"/>
          </w:tcPr>
          <w:p w14:paraId="1F87DDBF"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First cut-off date </w:t>
            </w:r>
          </w:p>
        </w:tc>
        <w:tc>
          <w:tcPr>
            <w:tcW w:w="4438" w:type="dxa"/>
          </w:tcPr>
          <w:p w14:paraId="3A52B8EF" w14:textId="77777777" w:rsidR="003C73FD" w:rsidRPr="00F76E10" w:rsidRDefault="003C73FD" w:rsidP="002057D7">
            <w:pPr>
              <w:spacing w:after="120"/>
              <w:jc w:val="both"/>
              <w:rPr>
                <w:rFonts w:ascii="Times New Roman" w:hAnsi="Times New Roman" w:cs="Times New Roman"/>
                <w:sz w:val="24"/>
                <w:szCs w:val="24"/>
              </w:rPr>
            </w:pPr>
            <w:r>
              <w:rPr>
                <w:rFonts w:ascii="Times New Roman" w:hAnsi="Times New Roman" w:cs="Times New Roman"/>
                <w:sz w:val="24"/>
                <w:szCs w:val="24"/>
              </w:rPr>
              <w:t>5 April</w:t>
            </w:r>
            <w:r w:rsidRPr="00F76E10">
              <w:rPr>
                <w:rFonts w:ascii="Times New Roman" w:hAnsi="Times New Roman" w:cs="Times New Roman"/>
                <w:sz w:val="24"/>
                <w:szCs w:val="24"/>
              </w:rPr>
              <w:t xml:space="preserve"> 2024 (18:00 CET)</w:t>
            </w:r>
          </w:p>
        </w:tc>
      </w:tr>
      <w:tr w:rsidR="003C73FD" w:rsidRPr="00F76E10" w14:paraId="38123FB3" w14:textId="77777777" w:rsidTr="002057D7">
        <w:trPr>
          <w:jc w:val="center"/>
        </w:trPr>
        <w:tc>
          <w:tcPr>
            <w:tcW w:w="4497" w:type="dxa"/>
          </w:tcPr>
          <w:p w14:paraId="5B5E93F8"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Next cut-off date(s) </w:t>
            </w:r>
          </w:p>
        </w:tc>
        <w:tc>
          <w:tcPr>
            <w:tcW w:w="4438" w:type="dxa"/>
          </w:tcPr>
          <w:p w14:paraId="565F7D97"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2024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2861E44C"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 xml:space="preserve">28 </w:t>
            </w:r>
            <w:proofErr w:type="spellStart"/>
            <w:r w:rsidRPr="00A4152B">
              <w:rPr>
                <w:rFonts w:ascii="Times New Roman" w:hAnsi="Times New Roman" w:cs="Times New Roman"/>
                <w:sz w:val="24"/>
                <w:szCs w:val="24"/>
                <w:lang w:val="fr-FR"/>
              </w:rPr>
              <w:t>February</w:t>
            </w:r>
            <w:proofErr w:type="spellEnd"/>
            <w:r w:rsidRPr="00A4152B">
              <w:rPr>
                <w:rFonts w:ascii="Times New Roman" w:hAnsi="Times New Roman" w:cs="Times New Roman"/>
                <w:sz w:val="24"/>
                <w:szCs w:val="24"/>
                <w:lang w:val="fr-FR"/>
              </w:rPr>
              <w:t xml:space="preserve">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4E7FF44D" w14:textId="77777777" w:rsidR="003C73FD" w:rsidRPr="00A4152B" w:rsidRDefault="003C73FD" w:rsidP="002057D7">
            <w:pPr>
              <w:spacing w:after="120"/>
              <w:jc w:val="both"/>
              <w:rPr>
                <w:rFonts w:ascii="Times New Roman" w:hAnsi="Times New Roman" w:cs="Times New Roman"/>
                <w:sz w:val="24"/>
                <w:szCs w:val="24"/>
                <w:lang w:val="fr-FR"/>
              </w:rPr>
            </w:pPr>
            <w:r w:rsidRPr="00A4152B">
              <w:rPr>
                <w:rFonts w:ascii="Times New Roman" w:hAnsi="Times New Roman" w:cs="Times New Roman"/>
                <w:sz w:val="24"/>
                <w:szCs w:val="24"/>
                <w:lang w:val="fr-FR"/>
              </w:rPr>
              <w:t>31 August 2025 (</w:t>
            </w:r>
            <w:proofErr w:type="gramStart"/>
            <w:r w:rsidRPr="00A4152B">
              <w:rPr>
                <w:rFonts w:ascii="Times New Roman" w:hAnsi="Times New Roman" w:cs="Times New Roman"/>
                <w:sz w:val="24"/>
                <w:szCs w:val="24"/>
                <w:lang w:val="fr-FR"/>
              </w:rPr>
              <w:t>18:</w:t>
            </w:r>
            <w:proofErr w:type="gramEnd"/>
            <w:r w:rsidRPr="00A4152B">
              <w:rPr>
                <w:rFonts w:ascii="Times New Roman" w:hAnsi="Times New Roman" w:cs="Times New Roman"/>
                <w:sz w:val="24"/>
                <w:szCs w:val="24"/>
                <w:lang w:val="fr-FR"/>
              </w:rPr>
              <w:t>00 CET)</w:t>
            </w:r>
          </w:p>
          <w:p w14:paraId="1DCC0CC2" w14:textId="77777777" w:rsidR="003C73FD" w:rsidRPr="00F76E10" w:rsidRDefault="003C73FD" w:rsidP="002057D7">
            <w:pPr>
              <w:spacing w:after="120"/>
              <w:jc w:val="both"/>
              <w:rPr>
                <w:rFonts w:ascii="Times New Roman" w:hAnsi="Times New Roman" w:cs="Times New Roman"/>
                <w:sz w:val="24"/>
                <w:szCs w:val="24"/>
              </w:rPr>
            </w:pPr>
            <w:bookmarkStart w:id="2" w:name="_Hlk144463162"/>
            <w:r>
              <w:rPr>
                <w:rFonts w:ascii="Times New Roman" w:hAnsi="Times New Roman" w:cs="Times New Roman"/>
                <w:sz w:val="24"/>
                <w:szCs w:val="24"/>
              </w:rPr>
              <w:t>28</w:t>
            </w:r>
            <w:r w:rsidRPr="00F76E10">
              <w:rPr>
                <w:rFonts w:ascii="Times New Roman" w:hAnsi="Times New Roman" w:cs="Times New Roman"/>
                <w:sz w:val="24"/>
                <w:szCs w:val="24"/>
              </w:rPr>
              <w:t xml:space="preserve"> </w:t>
            </w:r>
            <w:r>
              <w:rPr>
                <w:rFonts w:ascii="Times New Roman" w:hAnsi="Times New Roman" w:cs="Times New Roman"/>
                <w:sz w:val="24"/>
                <w:szCs w:val="24"/>
              </w:rPr>
              <w:t>Febr</w:t>
            </w:r>
            <w:r w:rsidRPr="00F76E10">
              <w:rPr>
                <w:rFonts w:ascii="Times New Roman" w:hAnsi="Times New Roman" w:cs="Times New Roman"/>
                <w:sz w:val="24"/>
                <w:szCs w:val="24"/>
              </w:rPr>
              <w:t>uary 2026</w:t>
            </w:r>
            <w:r>
              <w:rPr>
                <w:rFonts w:ascii="Times New Roman" w:hAnsi="Times New Roman" w:cs="Times New Roman"/>
                <w:sz w:val="24"/>
                <w:szCs w:val="24"/>
              </w:rPr>
              <w:t xml:space="preserve"> (18:00 CET)</w:t>
            </w:r>
            <w:bookmarkEnd w:id="2"/>
          </w:p>
        </w:tc>
      </w:tr>
      <w:tr w:rsidR="003C73FD" w:rsidRPr="00F76E10" w14:paraId="2282E5DE" w14:textId="77777777" w:rsidTr="002057D7">
        <w:trPr>
          <w:jc w:val="center"/>
        </w:trPr>
        <w:tc>
          <w:tcPr>
            <w:tcW w:w="4497" w:type="dxa"/>
          </w:tcPr>
          <w:p w14:paraId="2F228BF9"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Evaluation of proposals</w:t>
            </w:r>
          </w:p>
        </w:tc>
        <w:tc>
          <w:tcPr>
            <w:tcW w:w="4438" w:type="dxa"/>
          </w:tcPr>
          <w:p w14:paraId="5B60900B" w14:textId="77777777" w:rsidR="003C73FD" w:rsidRPr="00F76E10" w:rsidRDefault="003C73FD" w:rsidP="002057D7">
            <w:pPr>
              <w:spacing w:after="120"/>
              <w:jc w:val="both"/>
              <w:rPr>
                <w:rFonts w:ascii="Times New Roman" w:hAnsi="Times New Roman" w:cs="Times New Roman"/>
                <w:sz w:val="24"/>
                <w:szCs w:val="24"/>
              </w:rPr>
            </w:pPr>
            <w:r w:rsidRPr="00F76E10">
              <w:rPr>
                <w:rFonts w:ascii="Times New Roman" w:hAnsi="Times New Roman" w:cs="Times New Roman"/>
                <w:sz w:val="24"/>
                <w:szCs w:val="24"/>
              </w:rPr>
              <w:t xml:space="preserve">Following each cut-off date, the Commission will assess all </w:t>
            </w:r>
            <w:r>
              <w:rPr>
                <w:rFonts w:ascii="Times New Roman" w:hAnsi="Times New Roman" w:cs="Times New Roman"/>
                <w:sz w:val="24"/>
                <w:szCs w:val="24"/>
              </w:rPr>
              <w:t>A</w:t>
            </w:r>
            <w:r w:rsidRPr="00F76E10">
              <w:rPr>
                <w:rFonts w:ascii="Times New Roman" w:hAnsi="Times New Roman" w:cs="Times New Roman"/>
                <w:sz w:val="24"/>
                <w:szCs w:val="24"/>
              </w:rPr>
              <w:t>pplications received before that date, in accordance with the process in section 5.2 of this Call.</w:t>
            </w:r>
          </w:p>
        </w:tc>
      </w:tr>
    </w:tbl>
    <w:p w14:paraId="1ED546D8" w14:textId="77777777" w:rsidR="003C73FD" w:rsidRDefault="003C73FD"/>
    <w:p w14:paraId="2C9CA234" w14:textId="77777777" w:rsidR="003C73FD" w:rsidRDefault="003C73FD"/>
    <w:p w14:paraId="08F78513" w14:textId="50ADE956" w:rsidR="0083348B" w:rsidRDefault="0083348B" w:rsidP="00F41D32">
      <w:pPr>
        <w:jc w:val="center"/>
        <w:rPr>
          <w:b/>
          <w:bCs/>
        </w:rPr>
      </w:pPr>
      <w:r>
        <w:rPr>
          <w:b/>
          <w:bCs/>
        </w:rPr>
        <w:t>Addendum</w:t>
      </w:r>
      <w:r w:rsidRPr="0083348B">
        <w:rPr>
          <w:b/>
          <w:bCs/>
        </w:rPr>
        <w:t xml:space="preserve"> 1.</w:t>
      </w:r>
      <w:r>
        <w:rPr>
          <w:b/>
          <w:bCs/>
        </w:rPr>
        <w:t>2</w:t>
      </w:r>
    </w:p>
    <w:p w14:paraId="4747996A" w14:textId="77777777" w:rsidR="0083348B" w:rsidRDefault="0083348B">
      <w:pPr>
        <w:rPr>
          <w:b/>
          <w:bCs/>
        </w:rPr>
      </w:pPr>
    </w:p>
    <w:p w14:paraId="67CD68C1" w14:textId="33A11FA4" w:rsidR="003C73FD" w:rsidRPr="003C73FD" w:rsidRDefault="003C73FD">
      <w:pPr>
        <w:rPr>
          <w:b/>
          <w:bCs/>
        </w:rPr>
      </w:pPr>
      <w:r w:rsidRPr="003C73FD">
        <w:rPr>
          <w:b/>
          <w:bCs/>
        </w:rPr>
        <w:t>Annex II.</w:t>
      </w:r>
      <w:r>
        <w:rPr>
          <w:b/>
          <w:bCs/>
        </w:rPr>
        <w:t xml:space="preserve"> </w:t>
      </w:r>
      <w:r w:rsidRPr="003C73FD">
        <w:rPr>
          <w:b/>
          <w:bCs/>
        </w:rPr>
        <w:t>Model application form</w:t>
      </w:r>
    </w:p>
    <w:p w14:paraId="4EAEDBAE" w14:textId="51EA0DF7" w:rsidR="003C73FD" w:rsidRPr="006F08FF" w:rsidRDefault="003C73FD" w:rsidP="006F08FF">
      <w:pPr>
        <w:rPr>
          <w:b/>
          <w:bCs/>
        </w:rPr>
      </w:pPr>
      <w:r w:rsidRPr="006F08FF">
        <w:rPr>
          <w:b/>
          <w:bCs/>
        </w:rPr>
        <w:t xml:space="preserve">Section B.  Form for financial products to be covered by the EU Guarantee </w:t>
      </w:r>
    </w:p>
    <w:p w14:paraId="76CA6C6F" w14:textId="3EA95904" w:rsidR="003C73FD" w:rsidRPr="006F08FF" w:rsidRDefault="003C73FD">
      <w:pPr>
        <w:rPr>
          <w:b/>
          <w:bCs/>
        </w:rPr>
      </w:pPr>
      <w:r w:rsidRPr="006F08FF">
        <w:rPr>
          <w:b/>
          <w:bCs/>
        </w:rPr>
        <w:t>B1: Only for the increase of the EU Guarantee amount to an existing financial product already covered by an InvestEU Guarantee Agreement under the 1st Call for Expression of Interest (« top-up »)</w:t>
      </w:r>
      <w:r w:rsidRPr="006F08FF">
        <w:rPr>
          <w:b/>
          <w:bCs/>
          <w:vertAlign w:val="superscript"/>
        </w:rPr>
        <w:t>1</w:t>
      </w:r>
    </w:p>
    <w:p w14:paraId="2DDDD288" w14:textId="082823A1" w:rsidR="003C73FD" w:rsidRPr="00F41D32" w:rsidRDefault="005024BE" w:rsidP="002057D7">
      <w:pPr>
        <w:jc w:val="both"/>
        <w:rPr>
          <w:rFonts w:cstheme="minorHAnsi"/>
          <w:u w:val="single"/>
        </w:rPr>
      </w:pPr>
      <w:r w:rsidRPr="00F41D32">
        <w:rPr>
          <w:rFonts w:cstheme="minorHAnsi"/>
          <w:u w:val="single"/>
        </w:rPr>
        <w:t>FOR:</w:t>
      </w:r>
    </w:p>
    <w:p w14:paraId="14F15AE6" w14:textId="569C2B3F" w:rsidR="005024BE" w:rsidRPr="00F41D32" w:rsidRDefault="0083348B" w:rsidP="00A941C6">
      <w:pPr>
        <w:jc w:val="both"/>
        <w:rPr>
          <w:rFonts w:cstheme="minorHAnsi"/>
          <w:vertAlign w:val="superscript"/>
        </w:rPr>
      </w:pPr>
      <w:r w:rsidRPr="00F41D32">
        <w:rPr>
          <w:rFonts w:eastAsia="Calibri" w:cstheme="minorHAnsi"/>
          <w:vertAlign w:val="superscript"/>
        </w:rPr>
        <w:footnoteRef/>
      </w:r>
      <w:r w:rsidRPr="00F41D32">
        <w:rPr>
          <w:rFonts w:eastAsia="Calibri" w:cstheme="minorHAnsi"/>
        </w:rPr>
        <w:t xml:space="preserve"> For the avoidance of doubt, a “top up” of an existing product is an increase of the EU Guarantee for a financial product deployed under the 1</w:t>
      </w:r>
      <w:r w:rsidRPr="00F41D32">
        <w:rPr>
          <w:rFonts w:eastAsia="Calibri" w:cstheme="minorHAnsi"/>
          <w:vertAlign w:val="superscript"/>
        </w:rPr>
        <w:t>st</w:t>
      </w:r>
      <w:r w:rsidRPr="00F41D32">
        <w:rPr>
          <w:rFonts w:eastAsia="Calibri" w:cstheme="minorHAnsi"/>
        </w:rPr>
        <w:t xml:space="preserve"> Call for Expression of Interest which maintains the same risk-sharing structure, supports the final recipients targeted under the existing product and does not modify the risk parameters of the existing product in a way which would require the Implementing Partner to introduce an additional column for a new financial product in the respective Risk Template.</w:t>
      </w:r>
    </w:p>
    <w:p w14:paraId="59161F75" w14:textId="4901C46B" w:rsidR="003C73FD" w:rsidRPr="00F41D32" w:rsidRDefault="005024BE" w:rsidP="002057D7">
      <w:pPr>
        <w:jc w:val="both"/>
        <w:rPr>
          <w:rFonts w:cstheme="minorHAnsi"/>
          <w:u w:val="single"/>
        </w:rPr>
      </w:pPr>
      <w:r w:rsidRPr="00F41D32">
        <w:rPr>
          <w:rFonts w:cstheme="minorHAnsi"/>
          <w:u w:val="single"/>
        </w:rPr>
        <w:t>READ</w:t>
      </w:r>
      <w:r w:rsidR="003C73FD" w:rsidRPr="00F41D32">
        <w:rPr>
          <w:rFonts w:cstheme="minorHAnsi"/>
          <w:u w:val="single"/>
        </w:rPr>
        <w:t>:</w:t>
      </w:r>
    </w:p>
    <w:p w14:paraId="25B4892C" w14:textId="04A0CAA7" w:rsidR="00A941C6" w:rsidRDefault="00A941C6" w:rsidP="00A941C6">
      <w:pPr>
        <w:jc w:val="both"/>
      </w:pPr>
      <w:r>
        <w:rPr>
          <w:rStyle w:val="FootnoteReference"/>
        </w:rPr>
        <w:footnoteRef/>
      </w:r>
      <w:r>
        <w:t xml:space="preserve"> </w:t>
      </w:r>
      <w:r w:rsidRPr="004F3D54">
        <w:t xml:space="preserve">For the avoidance of doubt, a </w:t>
      </w:r>
      <w:r>
        <w:t>“</w:t>
      </w:r>
      <w:r w:rsidRPr="004F3D54">
        <w:t>top-up</w:t>
      </w:r>
      <w:r>
        <w:t>”</w:t>
      </w:r>
      <w:r w:rsidRPr="004F3D54">
        <w:t xml:space="preserve"> of an existing product is an increase of the EU </w:t>
      </w:r>
      <w:r>
        <w:t>G</w:t>
      </w:r>
      <w:r w:rsidRPr="004F3D54">
        <w:t>uarantee for a financial product deployed under the 1</w:t>
      </w:r>
      <w:r w:rsidRPr="00204B7A">
        <w:rPr>
          <w:vertAlign w:val="superscript"/>
        </w:rPr>
        <w:t>st</w:t>
      </w:r>
      <w:r>
        <w:t xml:space="preserve"> Call for Expression of Interest</w:t>
      </w:r>
      <w:r w:rsidRPr="004F3D54">
        <w:t xml:space="preserve"> which maintains the same risk-sharing structure</w:t>
      </w:r>
      <w:r>
        <w:t xml:space="preserve"> </w:t>
      </w:r>
      <w:r w:rsidRPr="004F3D54">
        <w:t xml:space="preserve">and does not </w:t>
      </w:r>
      <w:r>
        <w:t xml:space="preserve">materially </w:t>
      </w:r>
      <w:r w:rsidRPr="004F3D54">
        <w:t xml:space="preserve">modify the </w:t>
      </w:r>
      <w:r>
        <w:t xml:space="preserve">scope and </w:t>
      </w:r>
      <w:r w:rsidRPr="004F3D54">
        <w:t xml:space="preserve">risk parameters of the existing product </w:t>
      </w:r>
      <w:r>
        <w:t>that</w:t>
      </w:r>
      <w:r w:rsidRPr="004F3D54">
        <w:t xml:space="preserve"> </w:t>
      </w:r>
      <w:r>
        <w:t>would lead to more than a 10% increase of the lifetime expected loss of the existing product</w:t>
      </w:r>
      <w:r w:rsidRPr="00313EE2">
        <w:t>, as estimated in the originally submitted risk template</w:t>
      </w:r>
      <w:r>
        <w:t xml:space="preserve">. </w:t>
      </w:r>
      <w:r w:rsidRPr="00464478">
        <w:t xml:space="preserve">In case of a “top-up”, the contractual remuneration of the EU Guarantee and the covenants remain unchanged as per the existing Guarantee Agreement. </w:t>
      </w:r>
      <w:r w:rsidR="298025BD" w:rsidRPr="00BA66D2">
        <w:t xml:space="preserve">An application for a top-up shall include a revised risk template with two adjacent columns: </w:t>
      </w:r>
      <w:proofErr w:type="spellStart"/>
      <w:r w:rsidR="298025BD" w:rsidRPr="00BA66D2">
        <w:t>i</w:t>
      </w:r>
      <w:proofErr w:type="spellEnd"/>
      <w:r w:rsidR="298025BD" w:rsidRPr="00BA66D2">
        <w:t>) the first column indicates the risk characteristics of the original financial product, including the original amount of the portfolio and of the guarantee and ii) the second column indicates the risk characteristics of the revised financial product, including the total amount of the portfolio and of the guarantee (summing up original amount and the top-up amount for both the portfolio and the guarantee).</w:t>
      </w:r>
    </w:p>
    <w:p w14:paraId="3ECDD7C8" w14:textId="77777777" w:rsidR="00A941C6" w:rsidRDefault="00A941C6">
      <w:pPr>
        <w:rPr>
          <w:rFonts w:eastAsia="Calibri"/>
          <w:vertAlign w:val="superscript"/>
        </w:rPr>
      </w:pPr>
    </w:p>
    <w:p w14:paraId="3ADD61A2" w14:textId="346464C3" w:rsidR="0083348B" w:rsidRDefault="0083348B" w:rsidP="00F41D32">
      <w:pPr>
        <w:jc w:val="center"/>
        <w:rPr>
          <w:b/>
          <w:bCs/>
        </w:rPr>
      </w:pPr>
      <w:r>
        <w:rPr>
          <w:b/>
          <w:bCs/>
        </w:rPr>
        <w:t>Addendum</w:t>
      </w:r>
      <w:r w:rsidRPr="0083348B">
        <w:rPr>
          <w:b/>
          <w:bCs/>
        </w:rPr>
        <w:t xml:space="preserve"> 1.</w:t>
      </w:r>
      <w:r>
        <w:rPr>
          <w:b/>
          <w:bCs/>
        </w:rPr>
        <w:t>3</w:t>
      </w:r>
    </w:p>
    <w:p w14:paraId="32C11374" w14:textId="77777777" w:rsidR="0083348B" w:rsidRDefault="0083348B"/>
    <w:p w14:paraId="79520363" w14:textId="77777777" w:rsidR="003C73FD" w:rsidRPr="006F08FF" w:rsidRDefault="003C73FD" w:rsidP="003C73FD">
      <w:pPr>
        <w:jc w:val="both"/>
        <w:rPr>
          <w:b/>
          <w:bCs/>
        </w:rPr>
      </w:pPr>
      <w:r w:rsidRPr="006F08FF">
        <w:rPr>
          <w:b/>
          <w:bCs/>
        </w:rPr>
        <w:t xml:space="preserve">B2: Only for new financial products not yet covered by an InvestEU Guarantee Agreement  </w:t>
      </w:r>
    </w:p>
    <w:p w14:paraId="28E521E4" w14:textId="39655BFB" w:rsidR="003C73FD" w:rsidRPr="00F41D32" w:rsidRDefault="005024BE">
      <w:pPr>
        <w:rPr>
          <w:u w:val="single"/>
        </w:rPr>
      </w:pPr>
      <w:r w:rsidRPr="00F41D32">
        <w:rPr>
          <w:u w:val="single"/>
        </w:rPr>
        <w:t>FOR:</w:t>
      </w:r>
    </w:p>
    <w:tbl>
      <w:tblPr>
        <w:tblStyle w:val="TableGrid"/>
        <w:tblW w:w="9747" w:type="dxa"/>
        <w:tblInd w:w="-176" w:type="dxa"/>
        <w:tblLook w:val="04A0" w:firstRow="1" w:lastRow="0" w:firstColumn="1" w:lastColumn="0" w:noHBand="0" w:noVBand="1"/>
      </w:tblPr>
      <w:tblGrid>
        <w:gridCol w:w="1905"/>
        <w:gridCol w:w="2995"/>
        <w:gridCol w:w="4847"/>
      </w:tblGrid>
      <w:tr w:rsidR="00F41D32" w:rsidRPr="00B34191" w14:paraId="6E39C9C6" w14:textId="77777777" w:rsidTr="002057D7">
        <w:tc>
          <w:tcPr>
            <w:tcW w:w="1905" w:type="dxa"/>
          </w:tcPr>
          <w:p w14:paraId="2A3A4CFA" w14:textId="77777777" w:rsidR="00F41D32" w:rsidRDefault="00F41D32" w:rsidP="002057D7">
            <w:pPr>
              <w:rPr>
                <w:rFonts w:ascii="Times New Roman" w:hAnsi="Times New Roman" w:cs="Times New Roman"/>
                <w:b/>
                <w:bCs/>
              </w:rPr>
            </w:pPr>
            <w:r>
              <w:rPr>
                <w:rFonts w:ascii="Times New Roman" w:hAnsi="Times New Roman" w:cs="Times New Roman"/>
                <w:b/>
                <w:bCs/>
              </w:rPr>
              <w:t>12.</w:t>
            </w:r>
          </w:p>
        </w:tc>
        <w:tc>
          <w:tcPr>
            <w:tcW w:w="2995" w:type="dxa"/>
          </w:tcPr>
          <w:p w14:paraId="19A7E94A" w14:textId="77777777" w:rsidR="00F41D32" w:rsidRPr="00116D65" w:rsidRDefault="00F41D32" w:rsidP="002057D7">
            <w:pPr>
              <w:rPr>
                <w:rFonts w:ascii="Times New Roman" w:hAnsi="Times New Roman" w:cs="Times New Roman"/>
                <w:b/>
                <w:bCs/>
              </w:rPr>
            </w:pPr>
            <w:r w:rsidRPr="00116D65">
              <w:rPr>
                <w:rFonts w:ascii="Times New Roman" w:hAnsi="Times New Roman" w:cs="Times New Roman"/>
                <w:b/>
                <w:bCs/>
              </w:rPr>
              <w:t>Amounts / maturity per final recipients</w:t>
            </w:r>
          </w:p>
        </w:tc>
        <w:tc>
          <w:tcPr>
            <w:tcW w:w="4847" w:type="dxa"/>
          </w:tcPr>
          <w:p w14:paraId="59AD86E3" w14:textId="77777777" w:rsidR="00F41D32" w:rsidRPr="00F15F3E" w:rsidRDefault="00F41D32" w:rsidP="002057D7">
            <w:pPr>
              <w:autoSpaceDE w:val="0"/>
              <w:autoSpaceDN w:val="0"/>
              <w:spacing w:after="240"/>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minimum and maximum amount per financing or investment operation supported by InvestEU, as well as typical tenor range. Focus should be on long-term financing, exceptionally short or long maturities could only </w:t>
            </w:r>
            <w:proofErr w:type="gramStart"/>
            <w:r w:rsidRPr="00F15F3E">
              <w:rPr>
                <w:rFonts w:ascii="Times New Roman" w:hAnsi="Times New Roman" w:cs="Times New Roman"/>
                <w:i/>
                <w:iCs/>
                <w:highlight w:val="lightGray"/>
                <w:lang w:val="en-IE"/>
              </w:rPr>
              <w:t>supported</w:t>
            </w:r>
            <w:proofErr w:type="gramEnd"/>
            <w:r w:rsidRPr="00F15F3E">
              <w:rPr>
                <w:rFonts w:ascii="Times New Roman" w:hAnsi="Times New Roman" w:cs="Times New Roman"/>
                <w:i/>
                <w:iCs/>
                <w:highlight w:val="lightGray"/>
                <w:lang w:val="en-IE"/>
              </w:rPr>
              <w:t xml:space="preserve"> if duly justified by the nature of the </w:t>
            </w:r>
            <w:r w:rsidRPr="00F15F3E">
              <w:rPr>
                <w:rFonts w:ascii="Times New Roman" w:hAnsi="Times New Roman" w:cs="Times New Roman"/>
                <w:i/>
                <w:iCs/>
                <w:highlight w:val="lightGray"/>
                <w:lang w:val="en-IE"/>
              </w:rPr>
              <w:lastRenderedPageBreak/>
              <w:t>project or relevant market failures</w:t>
            </w:r>
            <w:r>
              <w:rPr>
                <w:rFonts w:ascii="Times New Roman" w:hAnsi="Times New Roman" w:cs="Times New Roman"/>
                <w:i/>
                <w:iCs/>
                <w:highlight w:val="lightGray"/>
                <w:lang w:val="en-IE"/>
              </w:rPr>
              <w:t>.</w:t>
            </w:r>
          </w:p>
          <w:p w14:paraId="711C857C" w14:textId="77777777" w:rsidR="00F41D32" w:rsidRPr="00B34191" w:rsidRDefault="00F41D32" w:rsidP="002057D7">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lang w:val="en-IE"/>
              </w:rPr>
              <w:t xml:space="preserve">Linked to evaluation criteria </w:t>
            </w:r>
            <w:r>
              <w:rPr>
                <w:rFonts w:ascii="Times New Roman" w:hAnsi="Times New Roman" w:cs="Times New Roman"/>
                <w:i/>
                <w:iCs/>
                <w:highlight w:val="lightGray"/>
              </w:rPr>
              <w:t xml:space="preserve">of Annex </w:t>
            </w:r>
            <w:r w:rsidRPr="005E64D1">
              <w:rPr>
                <w:rFonts w:ascii="Times New Roman" w:hAnsi="Times New Roman" w:cs="Times New Roman"/>
                <w:i/>
                <w:iCs/>
                <w:highlight w:val="lightGray"/>
                <w:lang w:val="en-IE"/>
              </w:rPr>
              <w:t xml:space="preserve">I, </w:t>
            </w:r>
            <w:proofErr w:type="gramStart"/>
            <w:r w:rsidRPr="00D56D04">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d</w:t>
            </w:r>
            <w:proofErr w:type="gramEnd"/>
          </w:p>
        </w:tc>
      </w:tr>
    </w:tbl>
    <w:p w14:paraId="404455C8" w14:textId="77777777" w:rsidR="003C73FD" w:rsidRDefault="003C73FD"/>
    <w:p w14:paraId="28DA39F5" w14:textId="44DF0632" w:rsidR="003C73FD" w:rsidRPr="00F41D32" w:rsidRDefault="005024BE">
      <w:pPr>
        <w:rPr>
          <w:u w:val="single"/>
        </w:rPr>
      </w:pPr>
      <w:r w:rsidRPr="00F41D32">
        <w:rPr>
          <w:u w:val="single"/>
        </w:rPr>
        <w:t>READ</w:t>
      </w:r>
      <w:r w:rsidR="003C73FD" w:rsidRPr="00F41D32">
        <w:rPr>
          <w:u w:val="single"/>
        </w:rPr>
        <w:t>:</w:t>
      </w:r>
    </w:p>
    <w:tbl>
      <w:tblPr>
        <w:tblStyle w:val="TableGrid"/>
        <w:tblW w:w="9747" w:type="dxa"/>
        <w:tblInd w:w="-176" w:type="dxa"/>
        <w:tblLook w:val="04A0" w:firstRow="1" w:lastRow="0" w:firstColumn="1" w:lastColumn="0" w:noHBand="0" w:noVBand="1"/>
      </w:tblPr>
      <w:tblGrid>
        <w:gridCol w:w="1905"/>
        <w:gridCol w:w="2995"/>
        <w:gridCol w:w="4847"/>
      </w:tblGrid>
      <w:tr w:rsidR="003C73FD" w:rsidRPr="00B34191" w14:paraId="7253A38B" w14:textId="77777777" w:rsidTr="002057D7">
        <w:tc>
          <w:tcPr>
            <w:tcW w:w="1905" w:type="dxa"/>
          </w:tcPr>
          <w:p w14:paraId="478AAE6F" w14:textId="77777777" w:rsidR="003C73FD" w:rsidRDefault="003C73FD" w:rsidP="002057D7">
            <w:pPr>
              <w:rPr>
                <w:rFonts w:ascii="Times New Roman" w:hAnsi="Times New Roman" w:cs="Times New Roman"/>
                <w:b/>
                <w:bCs/>
              </w:rPr>
            </w:pPr>
            <w:r>
              <w:rPr>
                <w:rFonts w:ascii="Times New Roman" w:hAnsi="Times New Roman" w:cs="Times New Roman"/>
                <w:b/>
                <w:bCs/>
              </w:rPr>
              <w:t>12.</w:t>
            </w:r>
          </w:p>
        </w:tc>
        <w:tc>
          <w:tcPr>
            <w:tcW w:w="2995" w:type="dxa"/>
          </w:tcPr>
          <w:p w14:paraId="2E52A547" w14:textId="77777777" w:rsidR="003C73FD" w:rsidRPr="00116D65" w:rsidRDefault="003C73FD" w:rsidP="002057D7">
            <w:pPr>
              <w:rPr>
                <w:rFonts w:ascii="Times New Roman" w:hAnsi="Times New Roman" w:cs="Times New Roman"/>
                <w:b/>
                <w:bCs/>
              </w:rPr>
            </w:pPr>
            <w:r w:rsidRPr="00116D65">
              <w:rPr>
                <w:rFonts w:ascii="Times New Roman" w:hAnsi="Times New Roman" w:cs="Times New Roman"/>
                <w:b/>
                <w:bCs/>
              </w:rPr>
              <w:t>Amounts / maturity per final recipients</w:t>
            </w:r>
          </w:p>
        </w:tc>
        <w:tc>
          <w:tcPr>
            <w:tcW w:w="4847" w:type="dxa"/>
          </w:tcPr>
          <w:p w14:paraId="339B5D2D" w14:textId="77777777" w:rsidR="003C73FD" w:rsidRPr="00F15F3E" w:rsidRDefault="003C73FD" w:rsidP="002057D7">
            <w:pPr>
              <w:autoSpaceDE w:val="0"/>
              <w:autoSpaceDN w:val="0"/>
              <w:spacing w:after="240"/>
              <w:jc w:val="both"/>
              <w:rPr>
                <w:rFonts w:ascii="Times New Roman" w:hAnsi="Times New Roman" w:cs="Times New Roman"/>
                <w:i/>
                <w:iCs/>
                <w:highlight w:val="lightGray"/>
                <w:lang w:val="en-IE"/>
              </w:rPr>
            </w:pPr>
            <w:r w:rsidRPr="00F15F3E">
              <w:rPr>
                <w:rFonts w:ascii="Times New Roman" w:hAnsi="Times New Roman" w:cs="Times New Roman"/>
                <w:i/>
                <w:iCs/>
                <w:highlight w:val="lightGray"/>
                <w:lang w:val="en-IE"/>
              </w:rPr>
              <w:t xml:space="preserve">Indicate inter alia the minimum and maximum amount per financing or investment operation supported by InvestEU, as well as typical tenor range. Focus should be on long-term financing, exceptionally short or long maturities could only </w:t>
            </w:r>
            <w:proofErr w:type="gramStart"/>
            <w:r w:rsidRPr="00F15F3E">
              <w:rPr>
                <w:rFonts w:ascii="Times New Roman" w:hAnsi="Times New Roman" w:cs="Times New Roman"/>
                <w:i/>
                <w:iCs/>
                <w:highlight w:val="lightGray"/>
                <w:lang w:val="en-IE"/>
              </w:rPr>
              <w:t>supported</w:t>
            </w:r>
            <w:proofErr w:type="gramEnd"/>
            <w:r w:rsidRPr="00F15F3E">
              <w:rPr>
                <w:rFonts w:ascii="Times New Roman" w:hAnsi="Times New Roman" w:cs="Times New Roman"/>
                <w:i/>
                <w:iCs/>
                <w:highlight w:val="lightGray"/>
                <w:lang w:val="en-IE"/>
              </w:rPr>
              <w:t xml:space="preserve"> if duly justified by the nature of the project or relevant market failures</w:t>
            </w:r>
            <w:r>
              <w:rPr>
                <w:rFonts w:ascii="Times New Roman" w:hAnsi="Times New Roman" w:cs="Times New Roman"/>
                <w:i/>
                <w:iCs/>
                <w:highlight w:val="lightGray"/>
                <w:lang w:val="en-IE"/>
              </w:rPr>
              <w:t>.</w:t>
            </w:r>
          </w:p>
          <w:p w14:paraId="6A524CA7" w14:textId="77777777" w:rsidR="003C73FD" w:rsidRPr="00B34191" w:rsidRDefault="003C73FD" w:rsidP="002057D7">
            <w:pPr>
              <w:autoSpaceDE w:val="0"/>
              <w:autoSpaceDN w:val="0"/>
              <w:spacing w:after="240"/>
              <w:jc w:val="both"/>
              <w:rPr>
                <w:rFonts w:ascii="Times New Roman" w:hAnsi="Times New Roman" w:cs="Times New Roman"/>
                <w:iCs/>
              </w:rPr>
            </w:pPr>
            <w:r w:rsidRPr="00A522E8">
              <w:rPr>
                <w:rFonts w:ascii="Times New Roman" w:hAnsi="Times New Roman" w:cs="Times New Roman"/>
                <w:i/>
                <w:iCs/>
                <w:highlight w:val="lightGray"/>
                <w:lang w:val="en-IE"/>
              </w:rPr>
              <w:t xml:space="preserve">Linked to evaluation criteria </w:t>
            </w:r>
            <w:r>
              <w:rPr>
                <w:rFonts w:ascii="Times New Roman" w:hAnsi="Times New Roman" w:cs="Times New Roman"/>
                <w:i/>
                <w:iCs/>
                <w:highlight w:val="lightGray"/>
              </w:rPr>
              <w:t xml:space="preserve">of Annex </w:t>
            </w:r>
            <w:r w:rsidRPr="005E64D1">
              <w:rPr>
                <w:rFonts w:ascii="Times New Roman" w:hAnsi="Times New Roman" w:cs="Times New Roman"/>
                <w:i/>
                <w:iCs/>
                <w:highlight w:val="lightGray"/>
                <w:lang w:val="en-IE"/>
              </w:rPr>
              <w:t xml:space="preserve">I, </w:t>
            </w:r>
            <w:r>
              <w:rPr>
                <w:rFonts w:ascii="Times New Roman" w:hAnsi="Times New Roman" w:cs="Times New Roman"/>
                <w:i/>
                <w:iCs/>
                <w:highlight w:val="lightGray"/>
                <w:lang w:val="en-IE"/>
              </w:rPr>
              <w:t xml:space="preserve">2.c and </w:t>
            </w:r>
            <w:proofErr w:type="gramStart"/>
            <w:r w:rsidRPr="00D56D04">
              <w:rPr>
                <w:rFonts w:ascii="Times New Roman" w:hAnsi="Times New Roman" w:cs="Times New Roman"/>
                <w:i/>
                <w:iCs/>
                <w:highlight w:val="lightGray"/>
                <w:lang w:val="en-IE"/>
              </w:rPr>
              <w:t>2.</w:t>
            </w:r>
            <w:r w:rsidRPr="00F15F3E">
              <w:rPr>
                <w:rFonts w:ascii="Times New Roman" w:hAnsi="Times New Roman" w:cs="Times New Roman"/>
                <w:i/>
                <w:iCs/>
                <w:highlight w:val="lightGray"/>
                <w:lang w:val="en-IE"/>
              </w:rPr>
              <w:t>d</w:t>
            </w:r>
            <w:proofErr w:type="gramEnd"/>
          </w:p>
        </w:tc>
      </w:tr>
    </w:tbl>
    <w:p w14:paraId="2F3962A9" w14:textId="77777777" w:rsidR="003C73FD" w:rsidRDefault="003C73FD"/>
    <w:sectPr w:rsidR="003C73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A823" w14:textId="77777777" w:rsidR="00C34176" w:rsidRDefault="00C34176" w:rsidP="003C73FD">
      <w:pPr>
        <w:spacing w:after="0" w:line="240" w:lineRule="auto"/>
      </w:pPr>
      <w:r>
        <w:separator/>
      </w:r>
    </w:p>
  </w:endnote>
  <w:endnote w:type="continuationSeparator" w:id="0">
    <w:p w14:paraId="75FDEE05" w14:textId="77777777" w:rsidR="00C34176" w:rsidRDefault="00C34176" w:rsidP="003C73FD">
      <w:pPr>
        <w:spacing w:after="0" w:line="240" w:lineRule="auto"/>
      </w:pPr>
      <w:r>
        <w:continuationSeparator/>
      </w:r>
    </w:p>
  </w:endnote>
  <w:endnote w:type="continuationNotice" w:id="1">
    <w:p w14:paraId="2793FBB9" w14:textId="77777777" w:rsidR="00C34176" w:rsidRDefault="00C3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9D42" w14:textId="77777777" w:rsidR="00C34176" w:rsidRDefault="00C34176" w:rsidP="003C73FD">
      <w:pPr>
        <w:spacing w:after="0" w:line="240" w:lineRule="auto"/>
      </w:pPr>
      <w:r>
        <w:separator/>
      </w:r>
    </w:p>
  </w:footnote>
  <w:footnote w:type="continuationSeparator" w:id="0">
    <w:p w14:paraId="54BA9C93" w14:textId="77777777" w:rsidR="00C34176" w:rsidRDefault="00C34176" w:rsidP="003C73FD">
      <w:pPr>
        <w:spacing w:after="0" w:line="240" w:lineRule="auto"/>
      </w:pPr>
      <w:r>
        <w:continuationSeparator/>
      </w:r>
    </w:p>
  </w:footnote>
  <w:footnote w:type="continuationNotice" w:id="1">
    <w:p w14:paraId="5387D8D1" w14:textId="77777777" w:rsidR="00C34176" w:rsidRDefault="00C341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52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520F"/>
    <w:rsid w:val="000C50D2"/>
    <w:rsid w:val="001663AB"/>
    <w:rsid w:val="00177E4E"/>
    <w:rsid w:val="002057D7"/>
    <w:rsid w:val="002B12E7"/>
    <w:rsid w:val="002F715D"/>
    <w:rsid w:val="003C73FD"/>
    <w:rsid w:val="004C66FB"/>
    <w:rsid w:val="004E66A3"/>
    <w:rsid w:val="004F442F"/>
    <w:rsid w:val="005024BE"/>
    <w:rsid w:val="00571430"/>
    <w:rsid w:val="005F7E8B"/>
    <w:rsid w:val="006241AF"/>
    <w:rsid w:val="00655C62"/>
    <w:rsid w:val="006E70CF"/>
    <w:rsid w:val="006F08FF"/>
    <w:rsid w:val="0072334A"/>
    <w:rsid w:val="0073165E"/>
    <w:rsid w:val="0075661D"/>
    <w:rsid w:val="007A7C09"/>
    <w:rsid w:val="0083348B"/>
    <w:rsid w:val="00837392"/>
    <w:rsid w:val="0086520F"/>
    <w:rsid w:val="00882B06"/>
    <w:rsid w:val="00901E0A"/>
    <w:rsid w:val="00906AB6"/>
    <w:rsid w:val="0094042A"/>
    <w:rsid w:val="00971F25"/>
    <w:rsid w:val="009B40D6"/>
    <w:rsid w:val="009C0E09"/>
    <w:rsid w:val="00A25A16"/>
    <w:rsid w:val="00A368F0"/>
    <w:rsid w:val="00A76582"/>
    <w:rsid w:val="00A941C6"/>
    <w:rsid w:val="00A97924"/>
    <w:rsid w:val="00B339EE"/>
    <w:rsid w:val="00BA66D2"/>
    <w:rsid w:val="00C041BB"/>
    <w:rsid w:val="00C34176"/>
    <w:rsid w:val="00C76EE6"/>
    <w:rsid w:val="00CB332E"/>
    <w:rsid w:val="00CE06D7"/>
    <w:rsid w:val="00D52FC0"/>
    <w:rsid w:val="00E04B92"/>
    <w:rsid w:val="00E228C4"/>
    <w:rsid w:val="00F41D32"/>
    <w:rsid w:val="298025BD"/>
    <w:rsid w:val="50EF8BD0"/>
    <w:rsid w:val="61C3BE37"/>
    <w:rsid w:val="66764C48"/>
    <w:rsid w:val="76C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B53A"/>
  <w15:chartTrackingRefBased/>
  <w15:docId w15:val="{ACBB3337-53E3-42AD-874B-37034449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8B"/>
    <w:pPr>
      <w:spacing w:after="160" w:line="259" w:lineRule="auto"/>
    </w:pPr>
    <w:rPr>
      <w:kern w:val="0"/>
      <w14:ligatures w14:val="none"/>
    </w:rPr>
  </w:style>
  <w:style w:type="paragraph" w:styleId="Heading1">
    <w:name w:val="heading 1"/>
    <w:basedOn w:val="Normal"/>
    <w:next w:val="Normal"/>
    <w:link w:val="Heading1Char"/>
    <w:uiPriority w:val="9"/>
    <w:qFormat/>
    <w:rsid w:val="003C73FD"/>
    <w:pPr>
      <w:keepNext/>
      <w:keepLines/>
      <w:numPr>
        <w:numId w:val="1"/>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3C73FD"/>
    <w:pPr>
      <w:keepNext/>
      <w:keepLines/>
      <w:numPr>
        <w:ilvl w:val="1"/>
        <w:numId w:val="1"/>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3C73FD"/>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C73F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73F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73F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73F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73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73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3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73FD"/>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rsid w:val="003C73FD"/>
    <w:rPr>
      <w:rFonts w:ascii="Times New Roman" w:eastAsiaTheme="majorEastAsia" w:hAnsi="Times New Roman" w:cstheme="majorBidi"/>
      <w:kern w:val="0"/>
      <w:sz w:val="24"/>
      <w:szCs w:val="26"/>
      <w14:ligatures w14:val="none"/>
    </w:rPr>
  </w:style>
  <w:style w:type="character" w:customStyle="1" w:styleId="Heading3Char">
    <w:name w:val="Heading 3 Char"/>
    <w:basedOn w:val="DefaultParagraphFont"/>
    <w:link w:val="Heading3"/>
    <w:uiPriority w:val="9"/>
    <w:rsid w:val="003C73FD"/>
    <w:rPr>
      <w:rFonts w:asciiTheme="majorHAnsi" w:eastAsiaTheme="majorEastAsia" w:hAnsiTheme="majorHAnsi" w:cstheme="majorBidi"/>
      <w:color w:val="243F60" w:themeColor="accent1" w:themeShade="7F"/>
      <w:kern w:val="0"/>
      <w:sz w:val="24"/>
      <w:szCs w:val="24"/>
      <w14:ligatures w14:val="none"/>
    </w:rPr>
  </w:style>
  <w:style w:type="character" w:customStyle="1" w:styleId="Heading4Char">
    <w:name w:val="Heading 4 Char"/>
    <w:basedOn w:val="DefaultParagraphFont"/>
    <w:link w:val="Heading4"/>
    <w:uiPriority w:val="9"/>
    <w:rsid w:val="003C73FD"/>
    <w:rPr>
      <w:rFonts w:asciiTheme="majorHAnsi" w:eastAsiaTheme="majorEastAsia" w:hAnsiTheme="majorHAnsi" w:cstheme="majorBidi"/>
      <w:i/>
      <w:iCs/>
      <w:color w:val="365F91" w:themeColor="accent1" w:themeShade="BF"/>
      <w:kern w:val="0"/>
      <w14:ligatures w14:val="none"/>
    </w:rPr>
  </w:style>
  <w:style w:type="character" w:customStyle="1" w:styleId="Heading5Char">
    <w:name w:val="Heading 5 Char"/>
    <w:basedOn w:val="DefaultParagraphFont"/>
    <w:link w:val="Heading5"/>
    <w:uiPriority w:val="9"/>
    <w:semiHidden/>
    <w:rsid w:val="003C73FD"/>
    <w:rPr>
      <w:rFonts w:asciiTheme="majorHAnsi" w:eastAsiaTheme="majorEastAsia" w:hAnsiTheme="majorHAnsi" w:cstheme="majorBidi"/>
      <w:color w:val="365F91" w:themeColor="accent1" w:themeShade="BF"/>
      <w:kern w:val="0"/>
      <w14:ligatures w14:val="none"/>
    </w:rPr>
  </w:style>
  <w:style w:type="character" w:customStyle="1" w:styleId="Heading6Char">
    <w:name w:val="Heading 6 Char"/>
    <w:basedOn w:val="DefaultParagraphFont"/>
    <w:link w:val="Heading6"/>
    <w:uiPriority w:val="9"/>
    <w:semiHidden/>
    <w:rsid w:val="003C73FD"/>
    <w:rPr>
      <w:rFonts w:asciiTheme="majorHAnsi" w:eastAsiaTheme="majorEastAsia" w:hAnsiTheme="majorHAnsi" w:cstheme="majorBidi"/>
      <w:color w:val="243F60" w:themeColor="accent1" w:themeShade="7F"/>
      <w:kern w:val="0"/>
      <w14:ligatures w14:val="none"/>
    </w:rPr>
  </w:style>
  <w:style w:type="character" w:customStyle="1" w:styleId="Heading7Char">
    <w:name w:val="Heading 7 Char"/>
    <w:basedOn w:val="DefaultParagraphFont"/>
    <w:link w:val="Heading7"/>
    <w:uiPriority w:val="9"/>
    <w:semiHidden/>
    <w:rsid w:val="003C73FD"/>
    <w:rPr>
      <w:rFonts w:asciiTheme="majorHAnsi" w:eastAsiaTheme="majorEastAsia" w:hAnsiTheme="majorHAnsi" w:cstheme="majorBidi"/>
      <w:i/>
      <w:iCs/>
      <w:color w:val="243F60" w:themeColor="accent1" w:themeShade="7F"/>
      <w:kern w:val="0"/>
      <w14:ligatures w14:val="none"/>
    </w:rPr>
  </w:style>
  <w:style w:type="character" w:customStyle="1" w:styleId="Heading8Char">
    <w:name w:val="Heading 8 Char"/>
    <w:basedOn w:val="DefaultParagraphFont"/>
    <w:link w:val="Heading8"/>
    <w:uiPriority w:val="9"/>
    <w:semiHidden/>
    <w:rsid w:val="003C73F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C73FD"/>
    <w:rPr>
      <w:rFonts w:asciiTheme="majorHAnsi" w:eastAsiaTheme="majorEastAsia" w:hAnsiTheme="majorHAnsi" w:cstheme="majorBidi"/>
      <w:i/>
      <w:iCs/>
      <w:color w:val="272727" w:themeColor="text1" w:themeTint="D8"/>
      <w:kern w:val="0"/>
      <w:sz w:val="21"/>
      <w:szCs w:val="21"/>
      <w14:ligatures w14:val="none"/>
    </w:r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3C73FD"/>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qFormat/>
    <w:rsid w:val="003C73FD"/>
    <w:rPr>
      <w:rFonts w:ascii="Times New Roman" w:hAnsi="Times New Roman"/>
      <w:kern w:val="0"/>
      <w:sz w:val="20"/>
      <w:szCs w:val="20"/>
      <w14:ligatures w14:val="none"/>
    </w:rPr>
  </w:style>
  <w:style w:type="character" w:styleId="FootnoteReference">
    <w:name w:val="footnote reference"/>
    <w:aliases w:val="Nota,Footnote symbol,Footnote number, Char1,Char1,Ref,de nota al pie"/>
    <w:basedOn w:val="DefaultParagraphFont"/>
    <w:uiPriority w:val="99"/>
    <w:unhideWhenUsed/>
    <w:rsid w:val="003C73FD"/>
    <w:rPr>
      <w:vertAlign w:val="superscript"/>
    </w:rPr>
  </w:style>
  <w:style w:type="paragraph" w:styleId="Header">
    <w:name w:val="header"/>
    <w:basedOn w:val="Normal"/>
    <w:link w:val="HeaderChar"/>
    <w:uiPriority w:val="99"/>
    <w:semiHidden/>
    <w:unhideWhenUsed/>
    <w:rsid w:val="00655C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C62"/>
    <w:rPr>
      <w:kern w:val="0"/>
      <w14:ligatures w14:val="none"/>
    </w:rPr>
  </w:style>
  <w:style w:type="paragraph" w:styleId="Footer">
    <w:name w:val="footer"/>
    <w:basedOn w:val="Normal"/>
    <w:link w:val="FooterChar"/>
    <w:uiPriority w:val="99"/>
    <w:semiHidden/>
    <w:unhideWhenUsed/>
    <w:rsid w:val="00655C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5C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35" ma:contentTypeDescription="Create a new document." ma:contentTypeScope="" ma:versionID="8e2eb1f8a2d7b1aac2c3fe5a98a68836">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0f26930c7d7a606a2bc4c4814c09a65d" ns2:_="" ns3:_="">
    <xsd:import namespace="cce4269c-1bca-4c47-bcbd-0ca0cb14aa6e"/>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3:SharedWithUsers" minOccurs="0"/>
                <xsd:element ref="ns3: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element ref="ns2:EUSI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element name="EUSIS" ma:index="30" nillable="true" ma:displayName="EUSIS" ma:default="0" ma:internalName="EUSIS">
      <xsd:simpleType>
        <xsd:restriction base="dms:Boolea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taxonomy="true" ma:internalName="h26187fcaaef4ec1a181df97b15839c4" ma:taxonomyFieldName="DocTags" ma:displayName="DocTags(dtx)" ma:default="" ma:fieldId="{126187fc-aaef-4ec1-a181-df97b15839c4}" ma:taxonomyMulti="true" ma:sspId="22b2fad6-9d2c-441c-a321-3f5f1e9bd928" ma:termSetId="49842479-b414-494f-adb5-67cc2385cac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_x0028_s_x0029_ xmlns="cce4269c-1bca-4c47-bcbd-0ca0cb14aa6e" xsi:nil="true"/>
    <_Flow_SignoffStatus xmlns="cce4269c-1bca-4c47-bcbd-0ca0cb14aa6e" xsi:nil="true"/>
    <h26187fcaaef4ec1a181df97b15839c4 xmlns="96a7f24e-e0df-4592-b6e0-4a62e251a0e5">
      <Terms xmlns="http://schemas.microsoft.com/office/infopath/2007/PartnerControls">
        <TermInfo xmlns="http://schemas.microsoft.com/office/infopath/2007/PartnerControls">
          <TermName xmlns="http://schemas.microsoft.com/office/infopath/2007/PartnerControls">CEOI</TermName>
          <TermId xmlns="http://schemas.microsoft.com/office/infopath/2007/PartnerControls">7fef3f84-880a-43d5-a5be-1cc9f1e87e2e</TermId>
        </TermInfo>
      </Terms>
    </h26187fcaaef4ec1a181df97b15839c4>
    <Adressee xmlns="cce4269c-1bca-4c47-bcbd-0ca0cb14aa6e" xsi:nil="true"/>
    <SharedWithUsers xmlns="96a7f24e-e0df-4592-b6e0-4a62e251a0e5">
      <UserInfo>
        <DisplayName/>
        <AccountId xsi:nil="true"/>
        <AccountType/>
      </UserInfo>
    </SharedWithUsers>
    <lcf76f155ced4ddcb4097134ff3c332f xmlns="cce4269c-1bca-4c47-bcbd-0ca0cb14aa6e">
      <Terms xmlns="http://schemas.microsoft.com/office/infopath/2007/PartnerControls"/>
    </lcf76f155ced4ddcb4097134ff3c332f>
    <TaxCatchAll xmlns="96a7f24e-e0df-4592-b6e0-4a62e251a0e5">
      <Value>69</Value>
    </TaxCatchAll>
    <EUSIS xmlns="cce4269c-1bca-4c47-bcbd-0ca0cb14aa6e">false</EUSIS>
    <Aresreference xmlns="cce4269c-1bca-4c47-bcbd-0ca0cb14aa6e">
      <Url xsi:nil="true"/>
      <Description xsi:nil="true"/>
    </Aresreference>
    <DocumentType xmlns="cce4269c-1bca-4c47-bcbd-0ca0cb14aa6e" xsi:nil="true"/>
  </documentManagement>
</p:properties>
</file>

<file path=customXml/itemProps1.xml><?xml version="1.0" encoding="utf-8"?>
<ds:datastoreItem xmlns:ds="http://schemas.openxmlformats.org/officeDocument/2006/customXml" ds:itemID="{95CF6151-CD59-4DC5-B998-5688B7E4F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4CC33-8BBC-4B37-919D-0A7DD23D2B4A}">
  <ds:schemaRefs>
    <ds:schemaRef ds:uri="http://schemas.microsoft.com/sharepoint/v3/contenttype/forms"/>
  </ds:schemaRefs>
</ds:datastoreItem>
</file>

<file path=customXml/itemProps3.xml><?xml version="1.0" encoding="utf-8"?>
<ds:datastoreItem xmlns:ds="http://schemas.openxmlformats.org/officeDocument/2006/customXml" ds:itemID="{609DAD9A-8739-42CA-9F1A-BEB60286151D}">
  <ds:schemaRefs>
    <ds:schemaRef ds:uri="http://schemas.microsoft.com/office/2006/documentManagement/types"/>
    <ds:schemaRef ds:uri="96a7f24e-e0df-4592-b6e0-4a62e251a0e5"/>
    <ds:schemaRef ds:uri="http://purl.org/dc/elements/1.1/"/>
    <ds:schemaRef ds:uri="http://www.w3.org/XML/1998/namespace"/>
    <ds:schemaRef ds:uri="http://purl.org/dc/dcmitype/"/>
    <ds:schemaRef ds:uri="cce4269c-1bca-4c47-bcbd-0ca0cb14aa6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622</Words>
  <Characters>3265</Characters>
  <Application>Microsoft Office Word</Application>
  <DocSecurity>0</DocSecurity>
  <Lines>98</Lines>
  <Paragraphs>57</Paragraphs>
  <ScaleCrop>false</ScaleCrop>
  <Company>European Commission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SOUSSAN Samuel (ECFIN)</dc:creator>
  <cp:keywords/>
  <dc:description/>
  <cp:lastModifiedBy>BEN SOUSSAN Samuel (ECFIN)</cp:lastModifiedBy>
  <cp:revision>25</cp:revision>
  <dcterms:created xsi:type="dcterms:W3CDTF">2024-02-06T11:42:00Z</dcterms:created>
  <dcterms:modified xsi:type="dcterms:W3CDTF">2024-02-09T08:28:00Z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2024-02-05T08:42:19Z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a73419e5-b1f2-42d2-b65c-bfeb0d39a108</vt:lpwstr>
  </property>
  <property fmtid="{D5CDD505-2E9C-101B-9397-08002B2CF9AE}" pid="8" name="MSIP_Label_6bd9ddd1-4d20-43f6-abfa-fc3c07406f94_ContentBits">
    <vt:lpwstr>0</vt:lpwstr>
  </property>
  <property fmtid="{D5CDD505-2E9C-101B-9397-08002B2CF9AE}" pid="9" name="MediaServiceImageTags">
    <vt:lpwstr/>
  </property>
  <property fmtid="{D5CDD505-2E9C-101B-9397-08002B2CF9AE}" pid="10" name="ContentTypeId">
    <vt:lpwstr>0x0101008BA6791DDFFC024DAA4136D92359EB10</vt:lpwstr>
  </property>
  <property fmtid="{D5CDD505-2E9C-101B-9397-08002B2CF9AE}" pid="11" name="DocTags">
    <vt:lpwstr>69;#CEOI|7fef3f84-880a-43d5-a5be-1cc9f1e87e2e</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{"FileActivityType":"9","FileActivityTimeStamp":"2024-02-06T08:02:18.880Z","FileActivityUsersOnPage":[{"DisplayName":"DELPINO Alberto (ECFIN)","Id":"alberto.delpino@ec.europa.eu"},{"DisplayName":"VALTONEN Saila (ECFIN)","Id":"saila.valtonen@ec.europa.eu"}],"FileActivityNavigationId":null}</vt:lpwstr>
  </property>
  <property fmtid="{D5CDD505-2E9C-101B-9397-08002B2CF9AE}" pid="15" name="TriggerFlowInfo">
    <vt:lpwstr/>
  </property>
</Properties>
</file>